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4" w:rsidRDefault="00472344" w:rsidP="00AA247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</w:pPr>
    </w:p>
    <w:p w:rsidR="00472344" w:rsidRPr="00472344" w:rsidRDefault="00D4308D" w:rsidP="00472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03</w:t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.06.2016г.</w:t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</w:r>
      <w:r w:rsidR="00472344"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ab/>
        <w:t>Пресс-релиз</w:t>
      </w:r>
    </w:p>
    <w:p w:rsidR="00472344" w:rsidRPr="003D1C46" w:rsidRDefault="00472344" w:rsidP="00472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344" w:rsidRDefault="00472344" w:rsidP="00AA247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</w:pPr>
    </w:p>
    <w:p w:rsidR="00AA2477" w:rsidRDefault="00472344" w:rsidP="00AA247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  <w:t>Белгородская область</w:t>
      </w:r>
      <w:r w:rsidR="00323A92"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  <w:t xml:space="preserve"> планирует размещение облигаций 201</w:t>
      </w:r>
      <w:r w:rsidR="00BC2B85"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  <w:t>6</w:t>
      </w:r>
      <w:r w:rsidR="00323A92"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  <w:t xml:space="preserve"> года</w:t>
      </w:r>
    </w:p>
    <w:p w:rsidR="00323A92" w:rsidRDefault="00323A92" w:rsidP="00AA24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88C33"/>
          <w:sz w:val="18"/>
          <w:szCs w:val="18"/>
          <w:lang w:eastAsia="ru-RU"/>
        </w:rPr>
      </w:pPr>
    </w:p>
    <w:p w:rsidR="002B3046" w:rsidRPr="004B08EE" w:rsidRDefault="00472344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Правительством Белгородской области</w:t>
      </w:r>
      <w:r w:rsidR="002B3046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утверждено</w:t>
      </w:r>
      <w:r w:rsidR="002B3046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решение об эмиссии облигаций 201</w:t>
      </w:r>
      <w:r w:rsidR="009D6C7C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6</w:t>
      </w:r>
      <w:r w:rsidR="002B3046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года</w:t>
      </w: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, согласно которому р</w:t>
      </w:r>
      <w:r w:rsidR="00304976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азмещение облигаций </w:t>
      </w: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состоится 14 июня</w:t>
      </w:r>
      <w:r w:rsidR="009D6C7C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2016</w:t>
      </w:r>
      <w:r w:rsidR="00304976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года. 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Выпуску присвоен государственный регистрационный номер </w:t>
      </w:r>
      <w:r w:rsidRP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RU34010BEL0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</w:t>
      </w:r>
    </w:p>
    <w:p w:rsidR="002B3046" w:rsidRPr="004B08EE" w:rsidRDefault="002B3046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Объем выпуска составляет </w:t>
      </w:r>
      <w:r w:rsidR="009D6C7C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3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,5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млрд. руб. Срок обращения – 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5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лет.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Облигации имеют 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20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квартальных купонов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. Ставка первого купона определяется по результатам </w:t>
      </w:r>
      <w:proofErr w:type="spellStart"/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бук-билдинга</w:t>
      </w:r>
      <w:proofErr w:type="spellEnd"/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, 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ставк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и остальных купонов 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равны ставке первого купона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. </w:t>
      </w:r>
    </w:p>
    <w:p w:rsidR="002B3046" w:rsidRDefault="002B3046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Условиями выпуска предусмотрена амортизация долга 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по 25% 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в даты </w:t>
      </w:r>
      <w:r w:rsidR="00637BFA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выплаты </w:t>
      </w:r>
      <w:r w:rsidR="00472344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17,18,19 и 20 купонов</w:t>
      </w:r>
      <w:r w:rsidR="00F33B6C"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</w:t>
      </w:r>
    </w:p>
    <w:p w:rsidR="005A0FFC" w:rsidRDefault="005A0FFC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 w:rsidRPr="00D4308D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Ориентир по ставке первого купона составляет </w:t>
      </w:r>
      <w:r w:rsidR="00D4308D" w:rsidRPr="00D4308D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9,90</w:t>
      </w:r>
      <w:r w:rsidRPr="00D4308D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-10,5% </w:t>
      </w:r>
      <w:proofErr w:type="gramStart"/>
      <w:r w:rsidRPr="00D4308D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годовых</w:t>
      </w:r>
      <w:proofErr w:type="gramEnd"/>
      <w:r w:rsidRPr="00D4308D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</w:t>
      </w:r>
    </w:p>
    <w:p w:rsidR="00247A4F" w:rsidRDefault="00247A4F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Книга заявок будет открыта 07 июня 2016 года с 1</w:t>
      </w:r>
      <w:r w:rsidR="00AC44EA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0</w:t>
      </w: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.00 до 1</w:t>
      </w:r>
      <w:r w:rsidR="00AC44EA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4</w:t>
      </w: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.00 мск.</w:t>
      </w:r>
    </w:p>
    <w:p w:rsidR="00304976" w:rsidRDefault="004B08EE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Выпуск облигаций соответствует требованиям к включению в Ломбардный список Банка России. Расчеты по сделке при размещении Облигаций пройдут на ФБ ММВБ. </w:t>
      </w:r>
    </w:p>
    <w:p w:rsidR="004B08EE" w:rsidRDefault="004B08EE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Генеральным агентом</w:t>
      </w:r>
      <w:r w:rsidR="009D6C7C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и техническим андеррайтером</w:t>
      </w:r>
      <w:r w:rsidRPr="004B08EE"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 xml:space="preserve"> является ООО «БК Регион».</w:t>
      </w:r>
    </w:p>
    <w:p w:rsidR="00472344" w:rsidRPr="004B08EE" w:rsidRDefault="00472344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  <w:t>Организаторы займа: БК Регион и ВТБ Капитал.</w:t>
      </w:r>
    </w:p>
    <w:p w:rsidR="004B08EE" w:rsidRPr="004B08EE" w:rsidRDefault="004B08EE" w:rsidP="004B08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</w:p>
    <w:sectPr w:rsidR="004B08EE" w:rsidRPr="004B08EE" w:rsidSect="00D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A2477"/>
    <w:rsid w:val="00036006"/>
    <w:rsid w:val="000751ED"/>
    <w:rsid w:val="000C792D"/>
    <w:rsid w:val="001377B9"/>
    <w:rsid w:val="00247A4F"/>
    <w:rsid w:val="002B3046"/>
    <w:rsid w:val="00304976"/>
    <w:rsid w:val="00304DF2"/>
    <w:rsid w:val="00323A92"/>
    <w:rsid w:val="00352344"/>
    <w:rsid w:val="00353D74"/>
    <w:rsid w:val="003C4904"/>
    <w:rsid w:val="0040175E"/>
    <w:rsid w:val="00442420"/>
    <w:rsid w:val="00472344"/>
    <w:rsid w:val="004874B8"/>
    <w:rsid w:val="004B08EE"/>
    <w:rsid w:val="005A0FFC"/>
    <w:rsid w:val="00637BFA"/>
    <w:rsid w:val="006775C5"/>
    <w:rsid w:val="006F2182"/>
    <w:rsid w:val="009D6C7C"/>
    <w:rsid w:val="00A131F6"/>
    <w:rsid w:val="00AA2477"/>
    <w:rsid w:val="00AC44EA"/>
    <w:rsid w:val="00BC2B85"/>
    <w:rsid w:val="00C66A0D"/>
    <w:rsid w:val="00D4308D"/>
    <w:rsid w:val="00D7538C"/>
    <w:rsid w:val="00D94013"/>
    <w:rsid w:val="00E000FF"/>
    <w:rsid w:val="00E02976"/>
    <w:rsid w:val="00E62724"/>
    <w:rsid w:val="00F33B6C"/>
    <w:rsid w:val="00F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 Alexandra</dc:creator>
  <cp:lastModifiedBy>512B</cp:lastModifiedBy>
  <cp:revision>2</cp:revision>
  <dcterms:created xsi:type="dcterms:W3CDTF">2016-06-06T08:27:00Z</dcterms:created>
  <dcterms:modified xsi:type="dcterms:W3CDTF">2016-06-06T08:27:00Z</dcterms:modified>
</cp:coreProperties>
</file>